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360D3240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1C36C9">
        <w:rPr>
          <w:b/>
          <w:bCs/>
        </w:rPr>
        <w:t xml:space="preserve"> </w:t>
      </w:r>
      <w:r w:rsidR="00EE6D88" w:rsidRPr="00EE6D88">
        <w:rPr>
          <w:b/>
          <w:bCs/>
        </w:rPr>
        <w:t>PNP-S/TW/02129/2026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023"/>
        <w:gridCol w:w="4643"/>
        <w:gridCol w:w="1996"/>
      </w:tblGrid>
      <w:tr w:rsidR="000A3233" w:rsidRPr="000A3233" w14:paraId="2D7FDA39" w14:textId="77777777" w:rsidTr="00B74D51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0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5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B74D51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0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5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B74D51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AF584" w14:textId="77777777" w:rsidR="00EE6D88" w:rsidRPr="00EE6D88" w:rsidRDefault="00EE6D88" w:rsidP="00EE6D88">
            <w:pPr>
              <w:spacing w:line="360" w:lineRule="auto"/>
            </w:pPr>
            <w:r w:rsidRPr="00EE6D88">
              <w:t>OPRAWA OŚWIETLENIOWA WPUSZCZANA TYP DOWNLIGHT LED DLBR 18W</w:t>
            </w:r>
          </w:p>
          <w:p w14:paraId="011F9DF6" w14:textId="2909BFF1" w:rsidR="000A3233" w:rsidRPr="000A3233" w:rsidRDefault="00EE6D88" w:rsidP="00EE6D88">
            <w:pPr>
              <w:spacing w:line="360" w:lineRule="auto"/>
            </w:pPr>
            <w:r w:rsidRPr="00EE6D88">
              <w:t>4000K</w:t>
            </w:r>
          </w:p>
        </w:tc>
        <w:tc>
          <w:tcPr>
            <w:tcW w:w="2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D53F7" w14:textId="77777777" w:rsidR="00A23469" w:rsidRDefault="00A23469" w:rsidP="00C643EB">
      <w:r>
        <w:separator/>
      </w:r>
    </w:p>
  </w:endnote>
  <w:endnote w:type="continuationSeparator" w:id="0">
    <w:p w14:paraId="1A87690B" w14:textId="77777777" w:rsidR="00A23469" w:rsidRDefault="00A23469" w:rsidP="00C643EB">
      <w:r>
        <w:continuationSeparator/>
      </w:r>
    </w:p>
  </w:endnote>
  <w:endnote w:type="continuationNotice" w:id="1">
    <w:p w14:paraId="33EEBECE" w14:textId="77777777" w:rsidR="00A23469" w:rsidRDefault="00A234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EA8FA" w14:textId="77777777" w:rsidR="00A23469" w:rsidRDefault="00A23469" w:rsidP="00C643EB">
      <w:r>
        <w:separator/>
      </w:r>
    </w:p>
  </w:footnote>
  <w:footnote w:type="continuationSeparator" w:id="0">
    <w:p w14:paraId="30251B00" w14:textId="77777777" w:rsidR="00A23469" w:rsidRDefault="00A23469" w:rsidP="00C643EB">
      <w:r>
        <w:continuationSeparator/>
      </w:r>
    </w:p>
  </w:footnote>
  <w:footnote w:type="continuationNotice" w:id="1">
    <w:p w14:paraId="29EC0226" w14:textId="77777777" w:rsidR="00A23469" w:rsidRDefault="00A23469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7ADF"/>
    <w:rsid w:val="0037136D"/>
    <w:rsid w:val="00390C26"/>
    <w:rsid w:val="00391641"/>
    <w:rsid w:val="003A2A70"/>
    <w:rsid w:val="003B2C2D"/>
    <w:rsid w:val="003B66AF"/>
    <w:rsid w:val="003D2ADE"/>
    <w:rsid w:val="00410047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06E1"/>
    <w:rsid w:val="00632DFD"/>
    <w:rsid w:val="00652DAA"/>
    <w:rsid w:val="00680A69"/>
    <w:rsid w:val="00684798"/>
    <w:rsid w:val="00692BFF"/>
    <w:rsid w:val="00694DD0"/>
    <w:rsid w:val="006A3F73"/>
    <w:rsid w:val="006D3CCB"/>
    <w:rsid w:val="006E0DAC"/>
    <w:rsid w:val="006E580D"/>
    <w:rsid w:val="006F1863"/>
    <w:rsid w:val="007148EF"/>
    <w:rsid w:val="00730E34"/>
    <w:rsid w:val="007357C3"/>
    <w:rsid w:val="0074182A"/>
    <w:rsid w:val="0075505B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03E61"/>
    <w:rsid w:val="00A20EDB"/>
    <w:rsid w:val="00A23469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74D51"/>
    <w:rsid w:val="00B946FC"/>
    <w:rsid w:val="00BB3BAF"/>
    <w:rsid w:val="00BC796D"/>
    <w:rsid w:val="00BD4764"/>
    <w:rsid w:val="00BD5169"/>
    <w:rsid w:val="00C46174"/>
    <w:rsid w:val="00C54218"/>
    <w:rsid w:val="00C643EB"/>
    <w:rsid w:val="00C71781"/>
    <w:rsid w:val="00CB1053"/>
    <w:rsid w:val="00D504E7"/>
    <w:rsid w:val="00D61717"/>
    <w:rsid w:val="00D66770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EE6D88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Company> 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2026-03-02T06:40:00Z</dcterms:created>
  <dcterms:modified xsi:type="dcterms:W3CDTF">2026-03-02T06:41:00Z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